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1"/>
        <w:gridCol w:w="3121"/>
      </w:tblGrid>
      <w:tr w:rsidR="00A92F43" w:rsidRPr="00A92F43" w:rsidTr="00A92F43">
        <w:trPr>
          <w:trHeight w:val="420"/>
          <w:jc w:val="center"/>
        </w:trPr>
        <w:tc>
          <w:tcPr>
            <w:tcW w:w="1650" w:type="pct"/>
            <w:tcBorders>
              <w:right w:val="single" w:sz="6" w:space="0" w:color="D7DBDF"/>
            </w:tcBorders>
            <w:shd w:val="clear" w:color="auto" w:fill="FFFFFF"/>
            <w:vAlign w:val="center"/>
            <w:hideMark/>
          </w:tcPr>
          <w:p w:rsidR="00A92F43" w:rsidRPr="00A92F43" w:rsidRDefault="00A92F43" w:rsidP="00A92F4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0" w:type="pct"/>
            <w:tcBorders>
              <w:right w:val="single" w:sz="6" w:space="0" w:color="D7DBDF"/>
            </w:tcBorders>
            <w:shd w:val="clear" w:color="auto" w:fill="FFFFFF"/>
            <w:vAlign w:val="center"/>
            <w:hideMark/>
          </w:tcPr>
          <w:p w:rsidR="00A92F43" w:rsidRPr="00A92F43" w:rsidRDefault="00A92F43" w:rsidP="00A92F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50" w:type="pct"/>
            <w:tcBorders>
              <w:right w:val="single" w:sz="6" w:space="0" w:color="D7DBDF"/>
            </w:tcBorders>
            <w:shd w:val="clear" w:color="auto" w:fill="FFFFFF"/>
            <w:vAlign w:val="center"/>
            <w:hideMark/>
          </w:tcPr>
          <w:p w:rsidR="00A92F43" w:rsidRPr="00A92F43" w:rsidRDefault="00A92F43" w:rsidP="00A92F4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26579A"/>
                <w:sz w:val="21"/>
                <w:szCs w:val="21"/>
                <w:lang w:eastAsia="ru-RU"/>
              </w:rPr>
            </w:pPr>
          </w:p>
        </w:tc>
      </w:tr>
    </w:tbl>
    <w:p w:rsidR="00A92F43" w:rsidRPr="00A92F43" w:rsidRDefault="00A92F43" w:rsidP="00A92F4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bottom w:val="single" w:sz="6" w:space="0" w:color="D7DBDF"/>
          <w:right w:val="single" w:sz="6" w:space="0" w:color="D7DBDF"/>
        </w:tblBorders>
        <w:tblCellMar>
          <w:left w:w="210" w:type="dxa"/>
          <w:right w:w="210" w:type="dxa"/>
        </w:tblCellMar>
        <w:tblLook w:val="04A0" w:firstRow="1" w:lastRow="0" w:firstColumn="1" w:lastColumn="0" w:noHBand="0" w:noVBand="1"/>
      </w:tblPr>
      <w:tblGrid>
        <w:gridCol w:w="9970"/>
      </w:tblGrid>
      <w:tr w:rsidR="00A92F43" w:rsidRPr="00A92F43" w:rsidTr="00A92F43">
        <w:trPr>
          <w:tblCellSpacing w:w="0" w:type="dxa"/>
          <w:jc w:val="center"/>
          <w:hidden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92F43" w:rsidRPr="00A92F43" w:rsidRDefault="00A92F43" w:rsidP="00A92F43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</w:pPr>
            <w:hyperlink r:id="rId6" w:anchor="block_100" w:history="1">
              <w:r w:rsidRPr="00A92F43">
                <w:rPr>
                  <w:rFonts w:ascii="Arial" w:eastAsia="Times New Roman" w:hAnsi="Arial" w:cs="Arial"/>
                  <w:b/>
                  <w:bCs/>
                  <w:vanish/>
                  <w:color w:val="26579A"/>
                  <w:sz w:val="20"/>
                  <w:szCs w:val="20"/>
                  <w:lang w:eastAsia="ru-RU"/>
                </w:rPr>
                <w:t>I. Общие положения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  <w:p w:rsidR="00A92F43" w:rsidRPr="00A92F43" w:rsidRDefault="00A92F43" w:rsidP="00A92F43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</w:pPr>
            <w:hyperlink r:id="rId7" w:anchor="block_200" w:history="1">
              <w:r w:rsidRPr="00A92F43">
                <w:rPr>
                  <w:rFonts w:ascii="Arial" w:eastAsia="Times New Roman" w:hAnsi="Arial" w:cs="Arial"/>
                  <w:b/>
                  <w:bCs/>
                  <w:vanish/>
                  <w:color w:val="26579A"/>
                  <w:sz w:val="20"/>
                  <w:szCs w:val="20"/>
                  <w:lang w:eastAsia="ru-RU"/>
                </w:rPr>
                <w:t>II. Порядок заключения договора на киновидеообслуживание и расчетов с населением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  <w:p w:rsidR="00A92F43" w:rsidRPr="00A92F43" w:rsidRDefault="00A92F43" w:rsidP="00A92F43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</w:pPr>
            <w:hyperlink r:id="rId8" w:anchor="block_300" w:history="1">
              <w:r w:rsidRPr="00A92F43">
                <w:rPr>
                  <w:rFonts w:ascii="Arial" w:eastAsia="Times New Roman" w:hAnsi="Arial" w:cs="Arial"/>
                  <w:b/>
                  <w:bCs/>
                  <w:vanish/>
                  <w:color w:val="26579A"/>
                  <w:sz w:val="20"/>
                  <w:szCs w:val="20"/>
                  <w:lang w:eastAsia="ru-RU"/>
                </w:rPr>
                <w:t>III. Обязанности киновидеозрелищных предприятий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  <w:p w:rsidR="00A92F43" w:rsidRPr="00A92F43" w:rsidRDefault="00A92F43" w:rsidP="00A92F43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</w:pPr>
            <w:hyperlink r:id="rId9" w:anchor="block_400" w:history="1">
              <w:r w:rsidRPr="00A92F43">
                <w:rPr>
                  <w:rFonts w:ascii="Arial" w:eastAsia="Times New Roman" w:hAnsi="Arial" w:cs="Arial"/>
                  <w:b/>
                  <w:bCs/>
                  <w:vanish/>
                  <w:color w:val="26579A"/>
                  <w:sz w:val="20"/>
                  <w:szCs w:val="20"/>
                  <w:lang w:eastAsia="ru-RU"/>
                </w:rPr>
                <w:t>IV. Права и обязанности зрителей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  <w:p w:rsidR="00A92F43" w:rsidRPr="00A92F43" w:rsidRDefault="00A92F43" w:rsidP="00A92F43">
            <w:pPr>
              <w:numPr>
                <w:ilvl w:val="1"/>
                <w:numId w:val="1"/>
              </w:numPr>
              <w:pBdr>
                <w:bottom w:val="single" w:sz="6" w:space="8" w:color="D7DBDF"/>
                <w:right w:val="single" w:sz="6" w:space="15" w:color="D7DBDF"/>
              </w:pBdr>
              <w:spacing w:before="100" w:beforeAutospacing="1" w:after="100" w:afterAutospacing="1" w:line="240" w:lineRule="auto"/>
              <w:ind w:left="0" w:firstLine="0"/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</w:pPr>
            <w:hyperlink r:id="rId10" w:anchor="block_500" w:history="1">
              <w:r w:rsidRPr="00A92F43">
                <w:rPr>
                  <w:rFonts w:ascii="Arial" w:eastAsia="Times New Roman" w:hAnsi="Arial" w:cs="Arial"/>
                  <w:b/>
                  <w:bCs/>
                  <w:vanish/>
                  <w:color w:val="26579A"/>
                  <w:sz w:val="20"/>
                  <w:szCs w:val="20"/>
                  <w:lang w:eastAsia="ru-RU"/>
                </w:rPr>
                <w:t>V. Контроль за киновидеообслуживанием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vanish/>
                <w:sz w:val="20"/>
                <w:szCs w:val="20"/>
                <w:lang w:eastAsia="ru-RU"/>
              </w:rPr>
              <w:t xml:space="preserve"> </w:t>
            </w:r>
          </w:p>
          <w:p w:rsidR="00A92F43" w:rsidRPr="00A92F43" w:rsidRDefault="00A92F43" w:rsidP="00A92F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Постановление Правительства РФ от 17 ноября 1994 г. N 1264</w:t>
            </w: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br/>
              <w:t xml:space="preserve">"Об утверждении Правил по </w:t>
            </w:r>
            <w:proofErr w:type="spellStart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 населения"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 xml:space="preserve">С изменениями и дополнениями </w:t>
            </w:r>
            <w:proofErr w:type="gramStart"/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от</w:t>
            </w:r>
            <w:proofErr w:type="gramEnd"/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: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ноября 2000 г., 1 февраля 2005 г., 14 декабря 2006 г., 10 марта 2009 г.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A92F43" w:rsidRPr="00A92F43" w:rsidRDefault="00A92F43" w:rsidP="00A92F43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соответствии с </w:t>
            </w:r>
            <w:hyperlink r:id="rId11" w:anchor="block_38" w:history="1">
              <w:r w:rsidRPr="00A92F43">
                <w:rPr>
                  <w:rFonts w:ascii="Arial" w:eastAsia="Times New Roman" w:hAnsi="Arial" w:cs="Arial"/>
                  <w:color w:val="008000"/>
                  <w:sz w:val="20"/>
                  <w:szCs w:val="20"/>
                  <w:lang w:eastAsia="ru-RU"/>
                </w:rPr>
                <w:t>Законом</w:t>
              </w:r>
            </w:hyperlink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Российской Федерации "О защите прав потребителей" (Ведомости Съезда народных депутатов Российской Федерации и Верховного Совета Российской Федерации, 1992, 15, ст.766) Правительство Российской Федерации постановляет: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Утвердить прилагаемые </w:t>
            </w:r>
            <w:hyperlink r:id="rId12" w:anchor="block_1000" w:history="1">
              <w:r w:rsidRPr="00A92F43">
                <w:rPr>
                  <w:rFonts w:ascii="Arial" w:eastAsia="Times New Roman" w:hAnsi="Arial" w:cs="Arial"/>
                  <w:color w:val="008000"/>
                  <w:sz w:val="20"/>
                  <w:szCs w:val="20"/>
                  <w:lang w:eastAsia="ru-RU"/>
                </w:rPr>
                <w:t>Правила</w:t>
              </w:r>
            </w:hyperlink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населения.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1"/>
              <w:gridCol w:w="3134"/>
            </w:tblGrid>
            <w:tr w:rsidR="00A92F43" w:rsidRPr="00A92F43" w:rsidTr="00A92F43">
              <w:trPr>
                <w:tblCellSpacing w:w="15" w:type="dxa"/>
              </w:trPr>
              <w:tc>
                <w:tcPr>
                  <w:tcW w:w="3300" w:type="pct"/>
                  <w:vAlign w:val="bottom"/>
                  <w:hideMark/>
                </w:tcPr>
                <w:p w:rsidR="00A92F43" w:rsidRPr="00A92F43" w:rsidRDefault="00A92F43" w:rsidP="00A92F4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92F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Председатель Правительства Российской Федерации</w:t>
                  </w:r>
                </w:p>
              </w:tc>
              <w:tc>
                <w:tcPr>
                  <w:tcW w:w="1650" w:type="pct"/>
                  <w:vAlign w:val="bottom"/>
                  <w:hideMark/>
                </w:tcPr>
                <w:p w:rsidR="00A92F43" w:rsidRPr="00A92F43" w:rsidRDefault="00A92F43" w:rsidP="00A92F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92F4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В.Черномырдин</w:t>
                  </w:r>
                  <w:proofErr w:type="spellEnd"/>
                </w:p>
              </w:tc>
            </w:tr>
          </w:tbl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Правила</w:t>
            </w: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br/>
              <w:t xml:space="preserve">по </w:t>
            </w:r>
            <w:proofErr w:type="spellStart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 населения</w:t>
            </w: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br/>
              <w:t xml:space="preserve">(утв. </w:t>
            </w:r>
            <w:hyperlink r:id="rId13" w:history="1">
              <w:r w:rsidRPr="00A92F43">
                <w:rPr>
                  <w:rFonts w:ascii="Arial" w:eastAsia="Times New Roman" w:hAnsi="Arial" w:cs="Arial"/>
                  <w:b/>
                  <w:bCs/>
                  <w:color w:val="008000"/>
                  <w:sz w:val="21"/>
                  <w:szCs w:val="21"/>
                  <w:lang w:eastAsia="ru-RU"/>
                </w:rPr>
                <w:t>постановлением</w:t>
              </w:r>
            </w:hyperlink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 Правительства РФ от 17 ноября 1994 г. N 1264)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 xml:space="preserve">С изменениями и дополнениями </w:t>
            </w:r>
            <w:proofErr w:type="gramStart"/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от</w:t>
            </w:r>
            <w:proofErr w:type="gramEnd"/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: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ноября 2000 г., 1 февраля 2005 г., 14 декабря 2006 г., 10 марта 2009 г.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ГАРАНТ: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См. </w:t>
            </w:r>
            <w:hyperlink r:id="rId14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u w:val="single"/>
                  <w:lang w:eastAsia="ru-RU"/>
                </w:rPr>
                <w:t>справку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о Правилах оказания услуг в различных сферах деятельности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I. Общие положения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Настоящие Правила по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населения (далее именуются - Правила) разработаны на основе </w:t>
            </w:r>
            <w:hyperlink r:id="rId15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Закона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РСФСР "О предприятиях и предпринимательской деятельности", </w:t>
            </w:r>
            <w:hyperlink r:id="rId16" w:anchor="block_38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Закона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Российской Федерации "О защите прав потребителей" и </w:t>
            </w:r>
            <w:hyperlink r:id="rId17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Основ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законодательства Российской Федерации о культуре, определяют порядок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киновидеообслуживания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населения Российской Федерации и регулируют отношения между предприятиями, организациями, учреждениями и гражданами-предпринимателями, оказывающими услуги по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(далее -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предприятия), и потребителями данных услуг - зрителями.</w:t>
            </w:r>
            <w:proofErr w:type="gramEnd"/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Настоящие Правила распространяются на все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предприятия, осуществляющие публичную демонстрацию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киновидеофильмов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территории Российской Федерации, независимо от форм собственности и ведомственной принадлежности.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3. </w:t>
            </w:r>
            <w:hyperlink r:id="rId18" w:anchor="block_10021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Утратил силу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Информация об изменениях: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См. текст </w:t>
            </w:r>
            <w:hyperlink r:id="rId19" w:anchor="block_3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пункта 3</w:t>
              </w:r>
            </w:hyperlink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Информация об изменениях: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0" w:anchor="block_5004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Правительства РФ от 10 марта 2009 г. N 219 в пункт 4 настоящих Правил внесены изменения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1" w:anchor="block_1004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См. текст пункта в предыдущей редакции</w:t>
              </w:r>
            </w:hyperlink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 Услугой по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является показ художественных, документальных, научно-популярных, мультипликационных, учебных кино- и видеофильмов (далее -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киновидеофильмы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), предназначенных для публичной демонстрации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киновидеозрелищными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предприятиями и имеющих </w:t>
            </w: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прокатные удостоверения установленного </w:t>
            </w:r>
            <w:hyperlink r:id="rId22" w:anchor="block_1000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образца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выданные в установленном порядке Министерством культуры Российской Федерации.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Информация об изменениях: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3" w:anchor="block_10022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Правительства РФ от 14 декабря 2006 г. N 767 в пункт 5 настоящих Правил внесены изменения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4" w:anchor="block_5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См. текст пункта в предыдущей редакции</w:t>
              </w:r>
            </w:hyperlink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5. Публичная демонстрация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киновидеофильмов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без прокатного удостоверения на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допускается.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Информация об изменениях: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5" w:anchor="block_10023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Правительства РФ от 14 декабря 2006 г. N 767 в пункт 6 настоящих Правил внесены изменения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6" w:anchor="block_6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См. текст пункта в предыдущей редакции</w:t>
              </w:r>
            </w:hyperlink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6. По требованию зрителей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обязаны предъявлять прокатное удостоверение на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II. Порядок заключения договора на </w:t>
            </w:r>
            <w:proofErr w:type="spellStart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киновидеообслуживание</w:t>
            </w:r>
            <w:proofErr w:type="spellEnd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 и расчетов с населением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7. Договор на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считается заключенным с момента продажи билета. В билете должны быть указаны наименование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киновидеозрелищного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предприятия, посадочное место, дата и время начала сеанса, цена.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8. Расчеты между зрителями и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предприятием осуществляются как в наличной, так и в безналичной форме в валюте Российской Федерации.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могут организовывать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предсеансовое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обслуживание зрителей (в том числе выступление музыкальных ансамблей, артистов-исполнителей, демонстрация киножурнала).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III. Обязанности </w:t>
            </w:r>
            <w:proofErr w:type="spellStart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киновидеозрелищных</w:t>
            </w:r>
            <w:proofErr w:type="spellEnd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 предприятий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обязаны иметь вывеску с указанием наименования, режима работы, а также юридического адреса (адреса местонахождения собственника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киновидеозрелищного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предприятия).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должны предоставлять зрителям возможность ознакомиться с Правилами путем вывешивания их в удобном для обозрения месте.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обязаны обеспечивать качественный показ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киновидеофильмов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поддерживать необходимый уровень технической оснащенности, комфортности, безопасности и качества обслуживания зрителей в соответствии с требованиями нормативных документов.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обязаны предоставлять зрителям полную и достоверную информацию: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 фильмах текущего и планируемого репертуара, в том числе указывать год выпуска, исполнителей главных ролей, имеющиеся </w:t>
            </w:r>
            <w:hyperlink r:id="rId27" w:anchor="block_1000" w:history="1">
              <w:r w:rsidRPr="00A92F43">
                <w:rPr>
                  <w:rFonts w:ascii="Arial" w:eastAsia="Times New Roman" w:hAnsi="Arial" w:cs="Arial"/>
                  <w:color w:val="008000"/>
                  <w:sz w:val="18"/>
                  <w:szCs w:val="18"/>
                  <w:lang w:eastAsia="ru-RU"/>
                </w:rPr>
                <w:t>возрастные ограничения</w:t>
              </w:r>
            </w:hyperlink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допуска зрительской аудитории на просмотр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ценах на билеты;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расположении ме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 в зр</w:t>
            </w:r>
            <w:proofErr w:type="gram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ительном зале (план);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времени начала и продолжительности сеанса;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дополнительных услугах, оказываемых зрителю, и ценах на них;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льготах, предоставляемых отдельным категориям зрителей в соответствии с действующим законодательством;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 специальных сеансах для детей и порядке снижения цен на билеты на детские сеансы, устанавливаемом органами местного самоуправления.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не вправе навязывать зрителям дополнительные услуги (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предсеансовое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обслуживание), предоставляемые за плату.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15. Цены на билеты устанавливаются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киновидеозрелищными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предприятиями самостоятельно.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16. Продажа билетов на текущий сеанс начинается не 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позднее</w:t>
            </w:r>
            <w:proofErr w:type="gram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чем за 30 минут до начала сеанса.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могут организовывать предварительную продажу билетов.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18.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обязаны предоставлять юридическим лицам возможность заказа билетов для коллективного просмотра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киновидеофильмов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19. Вход в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киновидеозрелищное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предприятие на очередной сеанс начинается за 30 минут до начала </w:t>
            </w: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сеанса.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20. Дети дошкольного и младшего школьного возраста допускаются на вечерние 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сеансы</w:t>
            </w:r>
            <w:proofErr w:type="gram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фильмы, не имеющие возрастных ограничений, в сопровождении взрослых.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21. Замена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программе планируемого репертуара допускается в случае порчи или утери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22. Объявленный в программе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должен быть показан независимо от количества присутствующих на сеансе зрителей.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23. Во всех случаях нарушения требований, предъявляемых к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предприятиям по качеству и срокам оказания услуг, последние обязаны возмещать зрителям убытки в установленном законодательством порядке.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IV. Права и обязанности зрителей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24. Зрители имеют право 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свободное пользование услугами на все виды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киновидеообслуживания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качественный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киновидеопоказ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получение полной и достоверной информации 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киновидеозрелищном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предприятии по предоставляемым им видам услуг, в том числе дополнительным;</w:t>
            </w: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ГАРАНТ: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8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u w:val="single"/>
                  <w:lang w:eastAsia="ru-RU"/>
                </w:rPr>
                <w:t>Решением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Верховного Суда РФ от 16 апреля 2009 г. N ГКПИ09-339 абзац пятый пункта 24 настоящих Правил признан не противоречащим действующему законодательству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возмещение стоимости билета в случае отмены просмотра, замены фильма или некачественной демонстрации по вине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киновидеозрелищного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предприятия, а также в случае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непредоставления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информации о возрастных ограничениях на просмотр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отказа зрителя в этом случае от просмотра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льгот по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если они предусмотрены действующим законодательством.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 Зрители обязаны: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 посещении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киновидеозрелищных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предприятий соблюдать правила работы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киновидеозрелищных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предприятий, общественный порядок;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сохранять билет до окончания сеанса;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взрослые зрители, пришедшие на специальные детские сеансы, приобретать билеты по цене для взрослого зрителя.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киновидеозрелищного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 вправе не допустить зрителя на просмотр или удалить из зала в случае нарушения зрителем общественного порядка и причинения вреда имуществу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киновидеозрелищного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предприятия.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26. В случае демонстрации киножурнала зрители, не пожелавшие приобрести билет на его просмотр, должны иметь возможность беспрепятственного прохода в зал для просмотра основного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киновидеофильма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27. Зритель несет имущественную ответственность за причиненный по его вине ущерб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киновидеозрелищному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предприятию в порядке, предусмотренном законодательством.</w:t>
            </w:r>
          </w:p>
          <w:p w:rsid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 xml:space="preserve">V. Контроль за </w:t>
            </w:r>
            <w:proofErr w:type="spellStart"/>
            <w:r w:rsidRPr="00A92F43">
              <w:rPr>
                <w:rFonts w:ascii="Arial" w:eastAsia="Times New Roman" w:hAnsi="Arial" w:cs="Arial"/>
                <w:b/>
                <w:bCs/>
                <w:color w:val="000080"/>
                <w:sz w:val="21"/>
                <w:szCs w:val="21"/>
                <w:lang w:eastAsia="ru-RU"/>
              </w:rPr>
              <w:t>киновидеообслуживанием</w:t>
            </w:r>
            <w:proofErr w:type="spellEnd"/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92F43" w:rsidRPr="00A92F43" w:rsidRDefault="00A92F43" w:rsidP="00A92F43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</w:pPr>
            <w:r w:rsidRPr="00A92F43">
              <w:rPr>
                <w:rFonts w:ascii="Arial" w:eastAsia="Times New Roman" w:hAnsi="Arial" w:cs="Arial"/>
                <w:b/>
                <w:bCs/>
                <w:color w:val="003C80"/>
                <w:sz w:val="24"/>
                <w:szCs w:val="24"/>
                <w:lang w:eastAsia="ru-RU"/>
              </w:rPr>
              <w:t>Информация об изменениях:</w:t>
            </w:r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29" w:anchor="block_1603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Постановлением</w:t>
              </w:r>
            </w:hyperlink>
            <w:r w:rsidRPr="00A92F43"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  <w:t xml:space="preserve"> Правительства РФ от 1 февраля 2005 г. N 49 в пункт 28 настоящих Правил внесены изменения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0080"/>
                <w:sz w:val="18"/>
                <w:szCs w:val="18"/>
                <w:lang w:eastAsia="ru-RU"/>
              </w:rPr>
            </w:pPr>
            <w:hyperlink r:id="rId30" w:anchor="block_28" w:history="1">
              <w:r w:rsidRPr="00A92F43">
                <w:rPr>
                  <w:rFonts w:ascii="Arial" w:eastAsia="Times New Roman" w:hAnsi="Arial" w:cs="Arial"/>
                  <w:i/>
                  <w:iCs/>
                  <w:color w:val="008000"/>
                  <w:sz w:val="18"/>
                  <w:szCs w:val="18"/>
                  <w:lang w:eastAsia="ru-RU"/>
                </w:rPr>
                <w:t>См. текст пункта в предыдущей редакции</w:t>
              </w:r>
            </w:hyperlink>
          </w:p>
          <w:p w:rsidR="00A92F43" w:rsidRPr="00A92F43" w:rsidRDefault="00A92F43" w:rsidP="00A92F43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28. </w:t>
            </w:r>
            <w:proofErr w:type="gram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соблюдением настоящих Правил, предоставление услуг по </w:t>
            </w:r>
            <w:proofErr w:type="spellStart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киновидеообслуживанию</w:t>
            </w:r>
            <w:proofErr w:type="spellEnd"/>
            <w:r w:rsidRPr="00A92F4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требованиями нормативных документов осуществляют органы исполнительной власти субъектов Российской Федерации, Федеральная служба по надзору в сфере защиты прав потребителей и благополучия человека, другие органы в соответствии с их компетенцией, а также организации потребителей.</w:t>
            </w:r>
          </w:p>
          <w:p w:rsidR="00A92F43" w:rsidRPr="00A92F43" w:rsidRDefault="00A92F43" w:rsidP="00A92F43">
            <w:pPr>
              <w:pBdr>
                <w:bottom w:val="single" w:sz="6" w:space="8" w:color="D7DBDF"/>
                <w:right w:val="single" w:sz="6" w:space="15" w:color="D7DBDF"/>
              </w:pBd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92F43" w:rsidRPr="00A92F43" w:rsidRDefault="00A92F43" w:rsidP="00A92F4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2F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A92F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31" w:anchor="ixzz3hr0coC4G" w:history="1">
        <w:r w:rsidRPr="00A92F43">
          <w:rPr>
            <w:rFonts w:ascii="Arial" w:eastAsia="Times New Roman" w:hAnsi="Arial" w:cs="Arial"/>
            <w:color w:val="003399"/>
            <w:sz w:val="24"/>
            <w:szCs w:val="24"/>
            <w:lang w:eastAsia="ru-RU"/>
          </w:rPr>
          <w:t>http://base.garant.ru/103352/#ixzz3hr0coC4G</w:t>
        </w:r>
      </w:hyperlink>
    </w:p>
    <w:p w:rsidR="00163A9D" w:rsidRDefault="00163A9D"/>
    <w:sectPr w:rsidR="001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57A16"/>
    <w:multiLevelType w:val="multilevel"/>
    <w:tmpl w:val="D962075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43"/>
    <w:rsid w:val="00163A9D"/>
    <w:rsid w:val="00A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2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2F4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menubasetext1">
    <w:name w:val="menu_base_text1"/>
    <w:basedOn w:val="a"/>
    <w:rsid w:val="00A92F43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2">
    <w:name w:val="s_32"/>
    <w:basedOn w:val="a"/>
    <w:rsid w:val="00A92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A92F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9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a"/>
    <w:rsid w:val="00A92F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3">
    <w:name w:val="s_13"/>
    <w:basedOn w:val="a"/>
    <w:rsid w:val="00A92F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92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2F43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menubasetext1">
    <w:name w:val="menu_base_text1"/>
    <w:basedOn w:val="a"/>
    <w:rsid w:val="00A92F43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2">
    <w:name w:val="s_32"/>
    <w:basedOn w:val="a"/>
    <w:rsid w:val="00A92F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A92F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_161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9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_34"/>
    <w:basedOn w:val="a"/>
    <w:rsid w:val="00A92F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3">
    <w:name w:val="s_13"/>
    <w:basedOn w:val="a"/>
    <w:rsid w:val="00A92F4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"/>
    <w:rsid w:val="00A92F4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471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3352/" TargetMode="External"/><Relationship Id="rId13" Type="http://schemas.openxmlformats.org/officeDocument/2006/relationships/hyperlink" Target="http://base.garant.ru/103352/" TargetMode="External"/><Relationship Id="rId18" Type="http://schemas.openxmlformats.org/officeDocument/2006/relationships/hyperlink" Target="http://base.garant.ru/12151123/" TargetMode="External"/><Relationship Id="rId26" Type="http://schemas.openxmlformats.org/officeDocument/2006/relationships/hyperlink" Target="http://base.garant.ru/522273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5432110/" TargetMode="External"/><Relationship Id="rId7" Type="http://schemas.openxmlformats.org/officeDocument/2006/relationships/hyperlink" Target="http://base.garant.ru/103352/" TargetMode="External"/><Relationship Id="rId12" Type="http://schemas.openxmlformats.org/officeDocument/2006/relationships/hyperlink" Target="http://base.garant.ru/103352/" TargetMode="External"/><Relationship Id="rId17" Type="http://schemas.openxmlformats.org/officeDocument/2006/relationships/hyperlink" Target="http://base.garant.ru/104540/" TargetMode="External"/><Relationship Id="rId25" Type="http://schemas.openxmlformats.org/officeDocument/2006/relationships/hyperlink" Target="http://base.garant.ru/12151123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0106035/3/" TargetMode="External"/><Relationship Id="rId20" Type="http://schemas.openxmlformats.org/officeDocument/2006/relationships/hyperlink" Target="http://base.garant.ru/12165871/" TargetMode="External"/><Relationship Id="rId29" Type="http://schemas.openxmlformats.org/officeDocument/2006/relationships/hyperlink" Target="http://base.garant.ru/121387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3352/" TargetMode="External"/><Relationship Id="rId11" Type="http://schemas.openxmlformats.org/officeDocument/2006/relationships/hyperlink" Target="http://base.garant.ru/10106035/3/" TargetMode="External"/><Relationship Id="rId24" Type="http://schemas.openxmlformats.org/officeDocument/2006/relationships/hyperlink" Target="http://base.garant.ru/5222739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64369/" TargetMode="External"/><Relationship Id="rId23" Type="http://schemas.openxmlformats.org/officeDocument/2006/relationships/hyperlink" Target="http://base.garant.ru/12151123/" TargetMode="External"/><Relationship Id="rId28" Type="http://schemas.openxmlformats.org/officeDocument/2006/relationships/hyperlink" Target="http://base.garant.ru/1791651/" TargetMode="External"/><Relationship Id="rId10" Type="http://schemas.openxmlformats.org/officeDocument/2006/relationships/hyperlink" Target="http://base.garant.ru/103352/" TargetMode="External"/><Relationship Id="rId19" Type="http://schemas.openxmlformats.org/officeDocument/2006/relationships/hyperlink" Target="http://base.garant.ru/5222739/" TargetMode="External"/><Relationship Id="rId31" Type="http://schemas.openxmlformats.org/officeDocument/2006/relationships/hyperlink" Target="http://base.garant.ru/1033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3352/" TargetMode="External"/><Relationship Id="rId14" Type="http://schemas.openxmlformats.org/officeDocument/2006/relationships/hyperlink" Target="http://base.garant.ru/10180110/" TargetMode="External"/><Relationship Id="rId22" Type="http://schemas.openxmlformats.org/officeDocument/2006/relationships/hyperlink" Target="http://base.garant.ru/70872652/" TargetMode="External"/><Relationship Id="rId27" Type="http://schemas.openxmlformats.org/officeDocument/2006/relationships/hyperlink" Target="http://base.garant.ru/188048/" TargetMode="External"/><Relationship Id="rId30" Type="http://schemas.openxmlformats.org/officeDocument/2006/relationships/hyperlink" Target="http://base.garant.ru/40020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2015-08-04T13:48:00Z</dcterms:created>
  <dcterms:modified xsi:type="dcterms:W3CDTF">2015-08-04T13:51:00Z</dcterms:modified>
</cp:coreProperties>
</file>